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394C9F">
        <w:rPr>
          <w:b/>
          <w:sz w:val="28"/>
          <w:szCs w:val="28"/>
        </w:rPr>
        <w:t>21.05.2019 № 133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 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Pr="002F1248">
        <w:rPr>
          <w:sz w:val="28"/>
          <w:szCs w:val="28"/>
        </w:rPr>
        <w:t>следующие изменения и дополнения:</w:t>
      </w:r>
    </w:p>
    <w:p w:rsidR="00394C9F" w:rsidRPr="00394C9F" w:rsidRDefault="00394C9F" w:rsidP="00394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>. Пункт пятый дополнить дефисом четырнадцатым</w:t>
      </w:r>
      <w:r>
        <w:rPr>
          <w:sz w:val="28"/>
          <w:szCs w:val="28"/>
        </w:rPr>
        <w:t xml:space="preserve"> и пятнадцатым</w:t>
      </w:r>
      <w:r w:rsidRPr="00394C9F">
        <w:rPr>
          <w:sz w:val="28"/>
          <w:szCs w:val="28"/>
        </w:rPr>
        <w:t xml:space="preserve">: </w:t>
      </w:r>
    </w:p>
    <w:p w:rsidR="005D6F24" w:rsidRDefault="00394C9F" w:rsidP="00394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«</w:t>
      </w:r>
      <w:r w:rsidR="005D6F24" w:rsidRPr="00394C9F">
        <w:rPr>
          <w:sz w:val="28"/>
          <w:szCs w:val="28"/>
        </w:rPr>
        <w:t xml:space="preserve">- </w:t>
      </w:r>
      <w:r w:rsidR="005D6F24" w:rsidRPr="005D6F24">
        <w:rPr>
          <w:sz w:val="28"/>
          <w:szCs w:val="28"/>
        </w:rPr>
        <w:t>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201</w:t>
      </w:r>
      <w:r w:rsidR="005D6F24">
        <w:rPr>
          <w:sz w:val="28"/>
          <w:szCs w:val="28"/>
        </w:rPr>
        <w:t>9</w:t>
      </w:r>
      <w:r w:rsidR="005D6F24" w:rsidRPr="005D6F24">
        <w:rPr>
          <w:sz w:val="28"/>
          <w:szCs w:val="28"/>
        </w:rPr>
        <w:t xml:space="preserve"> год и на плановый период 20</w:t>
      </w:r>
      <w:r w:rsidR="005D6F24">
        <w:rPr>
          <w:sz w:val="28"/>
          <w:szCs w:val="28"/>
        </w:rPr>
        <w:t>20</w:t>
      </w:r>
      <w:r w:rsidR="005D6F24" w:rsidRPr="005D6F24">
        <w:rPr>
          <w:sz w:val="28"/>
          <w:szCs w:val="28"/>
        </w:rPr>
        <w:t xml:space="preserve"> и 20</w:t>
      </w:r>
      <w:r w:rsidR="005D6F24">
        <w:rPr>
          <w:sz w:val="28"/>
          <w:szCs w:val="28"/>
        </w:rPr>
        <w:t>21</w:t>
      </w:r>
      <w:r w:rsidR="005D6F24" w:rsidRPr="005D6F24">
        <w:rPr>
          <w:sz w:val="28"/>
          <w:szCs w:val="28"/>
        </w:rPr>
        <w:t xml:space="preserve"> годов согласно при</w:t>
      </w:r>
      <w:r w:rsidR="005D6F24">
        <w:rPr>
          <w:sz w:val="28"/>
          <w:szCs w:val="28"/>
        </w:rPr>
        <w:t>ложению 22 к настоящему решению;</w:t>
      </w:r>
    </w:p>
    <w:p w:rsidR="00326A22" w:rsidRPr="00E240E6" w:rsidRDefault="00394C9F" w:rsidP="005D6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строительству, реконструкции, ремонту, капитальному ремонту автомобильных дорог местного значения в границах населенных пунктов поселения на 201</w:t>
      </w:r>
      <w:r w:rsidR="005D6F24">
        <w:rPr>
          <w:sz w:val="28"/>
          <w:szCs w:val="28"/>
        </w:rPr>
        <w:t>9</w:t>
      </w:r>
      <w:r w:rsidRPr="00394C9F">
        <w:rPr>
          <w:sz w:val="28"/>
          <w:szCs w:val="28"/>
        </w:rPr>
        <w:t xml:space="preserve"> год согласно прил</w:t>
      </w:r>
      <w:r w:rsidR="005D6F24">
        <w:rPr>
          <w:sz w:val="28"/>
          <w:szCs w:val="28"/>
        </w:rPr>
        <w:t>ожению 23 к настоящему решению</w:t>
      </w:r>
      <w:proofErr w:type="gramStart"/>
      <w:r>
        <w:rPr>
          <w:sz w:val="28"/>
          <w:szCs w:val="28"/>
        </w:rPr>
        <w:t>.»</w:t>
      </w:r>
      <w:r w:rsidR="00E240E6" w:rsidRPr="00E240E6">
        <w:rPr>
          <w:sz w:val="28"/>
          <w:szCs w:val="28"/>
        </w:rPr>
        <w:t>;</w:t>
      </w:r>
      <w:proofErr w:type="gramEnd"/>
    </w:p>
    <w:p w:rsidR="00545609" w:rsidRDefault="00326A22" w:rsidP="00E240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A22">
        <w:rPr>
          <w:sz w:val="28"/>
          <w:szCs w:val="28"/>
        </w:rPr>
        <w:t xml:space="preserve"> </w:t>
      </w:r>
      <w:r w:rsidR="00620DD2">
        <w:rPr>
          <w:sz w:val="28"/>
          <w:szCs w:val="28"/>
        </w:rPr>
        <w:t xml:space="preserve"> </w:t>
      </w:r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lastRenderedPageBreak/>
        <w:t>1.</w:t>
      </w:r>
      <w:r w:rsidR="005D6F24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Pr="009270DF">
        <w:rPr>
          <w:sz w:val="28"/>
          <w:szCs w:val="28"/>
        </w:rPr>
        <w:t>6</w:t>
      </w:r>
      <w:r w:rsidR="005D6F24">
        <w:rPr>
          <w:sz w:val="28"/>
          <w:szCs w:val="28"/>
        </w:rPr>
        <w:t>-12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</w:t>
      </w:r>
      <w:r w:rsidR="005D6F24">
        <w:rPr>
          <w:sz w:val="28"/>
          <w:szCs w:val="28"/>
        </w:rPr>
        <w:t>20</w:t>
      </w:r>
      <w:r w:rsidR="00E27C2F">
        <w:rPr>
          <w:sz w:val="28"/>
          <w:szCs w:val="28"/>
        </w:rPr>
        <w:t>, 22-23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5D6F24" w:rsidRDefault="005D6F24" w:rsidP="00522242">
      <w:pPr>
        <w:ind w:left="6804" w:hanging="141"/>
        <w:rPr>
          <w:sz w:val="16"/>
          <w:szCs w:val="16"/>
        </w:rPr>
      </w:pPr>
    </w:p>
    <w:p w:rsidR="005D6F24" w:rsidRDefault="005D6F24" w:rsidP="00522242">
      <w:pPr>
        <w:ind w:left="6804" w:hanging="141"/>
        <w:rPr>
          <w:sz w:val="16"/>
          <w:szCs w:val="16"/>
        </w:rPr>
      </w:pPr>
    </w:p>
    <w:p w:rsidR="005D6F24" w:rsidRDefault="005D6F24" w:rsidP="00522242">
      <w:pPr>
        <w:ind w:left="6804" w:hanging="141"/>
        <w:rPr>
          <w:sz w:val="16"/>
          <w:szCs w:val="16"/>
        </w:rPr>
      </w:pPr>
    </w:p>
    <w:p w:rsidR="005D6F24" w:rsidRDefault="005D6F2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394C9F">
        <w:rPr>
          <w:sz w:val="16"/>
          <w:szCs w:val="16"/>
        </w:rPr>
        <w:t>21.05.2019 № 133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4 455,6</w:t>
            </w:r>
          </w:p>
        </w:tc>
      </w:tr>
      <w:tr w:rsidR="005D6F24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622,4</w:t>
            </w:r>
          </w:p>
        </w:tc>
      </w:tr>
      <w:tr w:rsidR="005D6F24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3 765,7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13,0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54,5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287,9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287,9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31,5</w:t>
            </w:r>
          </w:p>
        </w:tc>
      </w:tr>
      <w:tr w:rsidR="005D6F24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31,5</w:t>
            </w:r>
          </w:p>
        </w:tc>
      </w:tr>
      <w:tr w:rsidR="005D6F24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1 069,3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33,6</w:t>
            </w:r>
          </w:p>
        </w:tc>
      </w:tr>
      <w:tr w:rsidR="005D6F24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150,0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878,0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7,7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1 194,6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243,2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951,4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3,0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3,0</w:t>
            </w:r>
          </w:p>
        </w:tc>
      </w:tr>
      <w:tr w:rsidR="005D6F24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4 575,7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4 575,7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432,0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432,0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20,0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20,0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1,2</w:t>
            </w:r>
          </w:p>
        </w:tc>
      </w:tr>
      <w:tr w:rsidR="005D6F24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1,2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99,5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99,5</w:t>
            </w:r>
          </w:p>
        </w:tc>
      </w:tr>
      <w:tr w:rsidR="005D6F24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D6F24" w:rsidRPr="007B7CF8" w:rsidRDefault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bCs/>
                <w:sz w:val="20"/>
                <w:szCs w:val="20"/>
              </w:rPr>
            </w:pPr>
            <w:r w:rsidRPr="005D6F24">
              <w:rPr>
                <w:bCs/>
                <w:sz w:val="20"/>
                <w:szCs w:val="20"/>
              </w:rPr>
              <w:t>12 170,3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D6F24" w:rsidRDefault="005D6F24" w:rsidP="005D6F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21.05.2019 № 133)</w:t>
      </w:r>
    </w:p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D6F24">
      <w:pPr>
        <w:ind w:left="6804" w:firstLine="276"/>
        <w:rPr>
          <w:sz w:val="16"/>
          <w:szCs w:val="16"/>
        </w:rPr>
      </w:pPr>
    </w:p>
    <w:p w:rsidR="005D6F24" w:rsidRDefault="005D6F24" w:rsidP="005D6F24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5D6F24" w:rsidRDefault="005D6F24" w:rsidP="005D6F24">
      <w:pPr>
        <w:jc w:val="center"/>
      </w:pPr>
    </w:p>
    <w:p w:rsidR="005D6F24" w:rsidRPr="00E20E2A" w:rsidRDefault="005D6F24" w:rsidP="005D6F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D6F24" w:rsidRPr="00F605C9" w:rsidTr="005D6F24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D6F24" w:rsidRPr="00F605C9" w:rsidTr="005D6F24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5 574,1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5 732,7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892,8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4 667,6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4 326,2</w:t>
            </w:r>
          </w:p>
        </w:tc>
      </w:tr>
      <w:tr w:rsidR="005D6F24" w:rsidRPr="00F605C9" w:rsidTr="005D6F24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500,0</w:t>
            </w:r>
          </w:p>
        </w:tc>
      </w:tr>
      <w:tr w:rsidR="005D6F24" w:rsidRPr="00F605C9" w:rsidTr="005D6F24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13,0</w:t>
            </w:r>
          </w:p>
        </w:tc>
      </w:tr>
      <w:tr w:rsidR="005D6F24" w:rsidRPr="00F605C9" w:rsidTr="005D6F24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0,7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287,9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287,9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1 042,3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1 430,9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33,6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1 008,7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1 397,3</w:t>
            </w:r>
          </w:p>
        </w:tc>
      </w:tr>
      <w:tr w:rsidR="005D6F24" w:rsidRPr="00F605C9" w:rsidTr="005D6F24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272,0</w:t>
            </w:r>
          </w:p>
        </w:tc>
      </w:tr>
      <w:tr w:rsidR="005D6F24" w:rsidRPr="00F605C9" w:rsidTr="005D6F24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90,0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182,0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2 867,4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2 417,5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2 867,4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2 417,5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432,0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432,0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1,0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1,0</w:t>
            </w:r>
          </w:p>
        </w:tc>
      </w:tr>
      <w:tr w:rsidR="005D6F24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111,0</w:t>
            </w:r>
          </w:p>
        </w:tc>
      </w:tr>
      <w:tr w:rsidR="005D6F24" w:rsidRPr="00387780" w:rsidTr="005D6F24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111,0</w:t>
            </w:r>
          </w:p>
        </w:tc>
      </w:tr>
      <w:tr w:rsidR="005D6F24" w:rsidRPr="00387780" w:rsidTr="005D6F24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7B7CF8" w:rsidRDefault="005D6F24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D6F24" w:rsidRPr="005D6F24" w:rsidRDefault="005D6F24">
            <w:pPr>
              <w:jc w:val="right"/>
              <w:rPr>
                <w:bCs/>
                <w:sz w:val="20"/>
                <w:szCs w:val="20"/>
              </w:rPr>
            </w:pPr>
            <w:r w:rsidRPr="005D6F24">
              <w:rPr>
                <w:bCs/>
                <w:sz w:val="20"/>
                <w:szCs w:val="20"/>
              </w:rPr>
              <w:t>10 889,8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bCs/>
                <w:sz w:val="20"/>
                <w:szCs w:val="20"/>
              </w:rPr>
            </w:pPr>
            <w:r w:rsidRPr="005D6F24">
              <w:rPr>
                <w:bCs/>
                <w:sz w:val="20"/>
                <w:szCs w:val="20"/>
              </w:rPr>
              <w:t>10 685,0</w:t>
            </w:r>
          </w:p>
        </w:tc>
      </w:tr>
    </w:tbl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394C9F">
        <w:rPr>
          <w:sz w:val="16"/>
          <w:szCs w:val="16"/>
        </w:rPr>
        <w:t>21.05.2019 № 133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12 170,3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4 455,6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622,4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622,4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622,4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622,4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622,4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622,4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467,1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155,3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3 765,7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3 725,7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3 725,7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3 725,7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3 173,6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3 173,6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2 348,8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824,8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542,1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542,1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542,1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8,0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54,5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3,8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Выполнение других обязательств муниципальных </w:t>
            </w:r>
            <w:r w:rsidRPr="005D6F24"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3,8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3,8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3,8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3,8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3,8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287,9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287,9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287,9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287,9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287,9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287,5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287,5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220,8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66,7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31,5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31,5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31,5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31,5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31,5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31,5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31,5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1 069,3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33,6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33,6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33,6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33,6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32,0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32,0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24,6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878,0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808,0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763,0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82,</w:t>
            </w:r>
            <w:r w:rsidR="00E27C2F">
              <w:rPr>
                <w:sz w:val="20"/>
                <w:szCs w:val="20"/>
              </w:rPr>
              <w:t>9</w:t>
            </w:r>
            <w:r w:rsidRPr="005D6F24">
              <w:rPr>
                <w:sz w:val="20"/>
                <w:szCs w:val="20"/>
              </w:rPr>
              <w:t xml:space="preserve">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82,</w:t>
            </w:r>
            <w:r w:rsidR="00E27C2F">
              <w:rPr>
                <w:sz w:val="20"/>
                <w:szCs w:val="20"/>
              </w:rPr>
              <w:t>9</w:t>
            </w:r>
            <w:r w:rsidRPr="005D6F24">
              <w:rPr>
                <w:sz w:val="20"/>
                <w:szCs w:val="20"/>
              </w:rPr>
              <w:t xml:space="preserve">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82,</w:t>
            </w:r>
            <w:r w:rsidR="00E27C2F">
              <w:rPr>
                <w:sz w:val="20"/>
                <w:szCs w:val="20"/>
              </w:rPr>
              <w:t>9</w:t>
            </w:r>
            <w:r w:rsidRPr="005D6F24">
              <w:rPr>
                <w:sz w:val="20"/>
                <w:szCs w:val="20"/>
              </w:rPr>
              <w:t xml:space="preserve">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82,</w:t>
            </w:r>
            <w:r w:rsidR="00E27C2F">
              <w:rPr>
                <w:sz w:val="20"/>
                <w:szCs w:val="20"/>
              </w:rPr>
              <w:t>9</w:t>
            </w:r>
            <w:r w:rsidRPr="005D6F24">
              <w:rPr>
                <w:sz w:val="20"/>
                <w:szCs w:val="20"/>
              </w:rPr>
              <w:t xml:space="preserve"> </w:t>
            </w:r>
          </w:p>
        </w:tc>
      </w:tr>
      <w:tr w:rsidR="00E27C2F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27C2F" w:rsidRPr="005D6F24" w:rsidRDefault="00E27C2F" w:rsidP="00E27C2F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680,</w:t>
            </w:r>
            <w:r>
              <w:rPr>
                <w:sz w:val="20"/>
                <w:szCs w:val="20"/>
              </w:rPr>
              <w:t>1</w:t>
            </w:r>
            <w:r w:rsidRPr="005D6F24">
              <w:rPr>
                <w:sz w:val="20"/>
                <w:szCs w:val="20"/>
              </w:rPr>
              <w:t xml:space="preserve"> </w:t>
            </w:r>
          </w:p>
        </w:tc>
      </w:tr>
      <w:tr w:rsidR="00E27C2F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27C2F" w:rsidRPr="005D6F24" w:rsidRDefault="00E27C2F" w:rsidP="00E27C2F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680,</w:t>
            </w:r>
            <w:r>
              <w:rPr>
                <w:sz w:val="20"/>
                <w:szCs w:val="20"/>
              </w:rPr>
              <w:t>1</w:t>
            </w:r>
            <w:r w:rsidRPr="005D6F24">
              <w:rPr>
                <w:sz w:val="20"/>
                <w:szCs w:val="20"/>
              </w:rPr>
              <w:t xml:space="preserve"> </w:t>
            </w:r>
          </w:p>
        </w:tc>
      </w:tr>
      <w:tr w:rsidR="00E27C2F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27C2F" w:rsidRPr="005D6F24" w:rsidRDefault="00E27C2F" w:rsidP="00E27C2F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7C2F" w:rsidRPr="005D6F24" w:rsidRDefault="00E27C2F" w:rsidP="00E27C2F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680,</w:t>
            </w:r>
            <w:r>
              <w:rPr>
                <w:sz w:val="20"/>
                <w:szCs w:val="20"/>
              </w:rPr>
              <w:t>1</w:t>
            </w:r>
            <w:r w:rsidRPr="005D6F24">
              <w:rPr>
                <w:sz w:val="20"/>
                <w:szCs w:val="20"/>
              </w:rPr>
              <w:t xml:space="preserve">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25,0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25,0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25,0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25,0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25,0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5D6F24">
              <w:rPr>
                <w:sz w:val="20"/>
                <w:szCs w:val="20"/>
              </w:rPr>
              <w:t>зем</w:t>
            </w:r>
            <w:proofErr w:type="spellEnd"/>
            <w:r w:rsidRPr="005D6F2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5D6F24">
              <w:rPr>
                <w:sz w:val="20"/>
                <w:szCs w:val="20"/>
              </w:rPr>
              <w:t>софинансирования</w:t>
            </w:r>
            <w:proofErr w:type="spellEnd"/>
            <w:r w:rsidRPr="005D6F24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7,7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1 194,6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243,2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proofErr w:type="spellStart"/>
            <w:r w:rsidRPr="005D6F24">
              <w:rPr>
                <w:sz w:val="20"/>
                <w:szCs w:val="20"/>
              </w:rPr>
              <w:t>Жилищно</w:t>
            </w:r>
            <w:proofErr w:type="spellEnd"/>
            <w:r w:rsidRPr="005D6F24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223,2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223,2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223,2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D6F2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99,0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99,0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99,0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99,0 </w:t>
            </w:r>
          </w:p>
        </w:tc>
      </w:tr>
      <w:tr w:rsidR="00DE488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E488B" w:rsidRPr="005D6F24" w:rsidRDefault="00DE488B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E488B" w:rsidRPr="000963DE" w:rsidRDefault="00DE488B" w:rsidP="00D129F3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70,0 </w:t>
            </w:r>
          </w:p>
        </w:tc>
      </w:tr>
      <w:tr w:rsidR="00DE488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E488B" w:rsidRPr="005D6F24" w:rsidRDefault="00DE488B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E488B" w:rsidRPr="000963DE" w:rsidRDefault="00DE488B" w:rsidP="00D129F3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70,0 </w:t>
            </w:r>
          </w:p>
        </w:tc>
      </w:tr>
      <w:tr w:rsidR="00DE488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E488B" w:rsidRPr="005D6F24" w:rsidRDefault="00DE488B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E488B" w:rsidRPr="000963DE" w:rsidRDefault="00DE488B" w:rsidP="00D129F3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70,0 </w:t>
            </w:r>
          </w:p>
        </w:tc>
      </w:tr>
      <w:tr w:rsidR="00DE488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E488B" w:rsidRPr="005D6F24" w:rsidRDefault="00DE488B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E488B" w:rsidRPr="000963DE" w:rsidRDefault="00DE488B" w:rsidP="00D129F3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70,0 </w:t>
            </w:r>
          </w:p>
        </w:tc>
      </w:tr>
      <w:tr w:rsidR="00DE488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E488B" w:rsidRPr="005D6F24" w:rsidRDefault="00DE488B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E488B" w:rsidRPr="000963DE" w:rsidRDefault="00DE488B" w:rsidP="00D129F3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54,2 </w:t>
            </w:r>
          </w:p>
        </w:tc>
      </w:tr>
      <w:tr w:rsidR="00DE488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E488B" w:rsidRPr="005D6F24" w:rsidRDefault="00DE488B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E488B" w:rsidRPr="000963DE" w:rsidRDefault="00DE488B" w:rsidP="00D129F3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54,2 </w:t>
            </w:r>
          </w:p>
        </w:tc>
      </w:tr>
      <w:tr w:rsidR="00DE488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E488B" w:rsidRPr="005D6F24" w:rsidRDefault="00DE488B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E488B" w:rsidRPr="000963DE" w:rsidRDefault="00DE488B" w:rsidP="00D129F3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54,2 </w:t>
            </w:r>
          </w:p>
        </w:tc>
      </w:tr>
      <w:tr w:rsidR="00DE488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E488B" w:rsidRPr="005D6F24" w:rsidRDefault="00DE488B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E488B" w:rsidRPr="000963DE" w:rsidRDefault="00DE488B" w:rsidP="00D129F3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88B" w:rsidRPr="005D6F24" w:rsidRDefault="00DE488B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54,2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951,4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951,4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861,4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554,0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341,0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341,0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341,0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341,0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57,0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D6F2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57,0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57,0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57,0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156,0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156,0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156,0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156,0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23,1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23,1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23,1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23,1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23,1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41,0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5,0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36,0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36,0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36,0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36,0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34,3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34,3 </w:t>
            </w:r>
          </w:p>
        </w:tc>
      </w:tr>
      <w:tr w:rsidR="005D6F24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34,3 </w:t>
            </w:r>
          </w:p>
        </w:tc>
      </w:tr>
      <w:tr w:rsidR="005D6F24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34,3 </w:t>
            </w:r>
          </w:p>
        </w:tc>
      </w:tr>
      <w:tr w:rsidR="005D6F24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34,3 </w:t>
            </w:r>
          </w:p>
        </w:tc>
      </w:tr>
      <w:tr w:rsidR="005D6F24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199,0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199,0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199,0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199,0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199,0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0,0 </w:t>
            </w:r>
          </w:p>
        </w:tc>
      </w:tr>
      <w:tr w:rsidR="005D6F24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3,0 </w:t>
            </w:r>
          </w:p>
        </w:tc>
      </w:tr>
      <w:tr w:rsidR="005D6F24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3,0 </w:t>
            </w:r>
          </w:p>
        </w:tc>
      </w:tr>
      <w:tr w:rsidR="005D6F24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3,0 </w:t>
            </w:r>
          </w:p>
        </w:tc>
      </w:tr>
      <w:tr w:rsidR="005D6F24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3,0 </w:t>
            </w:r>
          </w:p>
        </w:tc>
      </w:tr>
      <w:tr w:rsidR="005D6F24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3,0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4 575,7 </w:t>
            </w:r>
          </w:p>
        </w:tc>
      </w:tr>
      <w:tr w:rsidR="005D6F24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4 575,7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1 633,8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1 633,8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1 632,7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1 632,7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1 221,2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411,5 </w:t>
            </w:r>
          </w:p>
        </w:tc>
      </w:tr>
      <w:tr w:rsidR="005D6F24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1,1 </w:t>
            </w:r>
          </w:p>
        </w:tc>
      </w:tr>
      <w:tr w:rsidR="005D6F24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1,0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  <w:r w:rsidRPr="005D6F24">
              <w:rPr>
                <w:sz w:val="20"/>
                <w:szCs w:val="20"/>
              </w:rPr>
              <w:lastRenderedPageBreak/>
              <w:t>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1,0 </w:t>
            </w:r>
          </w:p>
        </w:tc>
      </w:tr>
      <w:tr w:rsidR="005D6F24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0,1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0,1 </w:t>
            </w:r>
          </w:p>
        </w:tc>
      </w:tr>
      <w:tr w:rsidR="005D6F24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2 941,9 </w:t>
            </w:r>
          </w:p>
        </w:tc>
      </w:tr>
      <w:tr w:rsidR="005D6F24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2 941,9 </w:t>
            </w:r>
          </w:p>
        </w:tc>
      </w:tr>
      <w:tr w:rsidR="005D6F24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2 757,9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2 757,9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2 757,9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2 757,9 </w:t>
            </w:r>
          </w:p>
        </w:tc>
      </w:tr>
      <w:tr w:rsidR="005D6F24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5D6F24">
              <w:rPr>
                <w:sz w:val="20"/>
                <w:szCs w:val="20"/>
              </w:rPr>
              <w:t>использльзования</w:t>
            </w:r>
            <w:proofErr w:type="spellEnd"/>
            <w:r w:rsidRPr="005D6F24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41,0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41,0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41,0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41,0 </w:t>
            </w:r>
          </w:p>
        </w:tc>
      </w:tr>
      <w:tr w:rsidR="005D6F24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130,0 </w:t>
            </w:r>
          </w:p>
        </w:tc>
      </w:tr>
      <w:tr w:rsidR="005D6F24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130,0 </w:t>
            </w:r>
          </w:p>
        </w:tc>
      </w:tr>
      <w:tr w:rsidR="005D6F24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130,0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130,0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432,0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432,0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432,0 </w:t>
            </w:r>
          </w:p>
        </w:tc>
      </w:tr>
      <w:tr w:rsidR="005D6F24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432,0 </w:t>
            </w:r>
          </w:p>
        </w:tc>
      </w:tr>
      <w:tr w:rsidR="005D6F24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432,0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432,0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432,0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432,0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20,0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1,2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1,2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1,2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1,2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1,2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1,2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99,5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99,5 </w:t>
            </w:r>
          </w:p>
        </w:tc>
      </w:tr>
      <w:tr w:rsidR="005D6F24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99,5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D6F2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99,5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60,7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60,7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60,7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11,5 </w:t>
            </w:r>
          </w:p>
        </w:tc>
      </w:tr>
      <w:tr w:rsidR="005D6F24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11,5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11,5 </w:t>
            </w:r>
          </w:p>
        </w:tc>
      </w:tr>
      <w:tr w:rsidR="005D6F24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27,3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27,3 </w:t>
            </w:r>
          </w:p>
        </w:tc>
      </w:tr>
      <w:tr w:rsidR="005D6F24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D6F24" w:rsidRPr="005D6F24" w:rsidRDefault="005D6F24">
            <w:pPr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F24" w:rsidRPr="005D6F24" w:rsidRDefault="005D6F24">
            <w:pPr>
              <w:jc w:val="right"/>
              <w:rPr>
                <w:sz w:val="20"/>
                <w:szCs w:val="20"/>
              </w:rPr>
            </w:pPr>
            <w:r w:rsidRPr="005D6F24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4D024D" w:rsidRDefault="004D024D" w:rsidP="004D024D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25.12.2018 № 115</w:t>
      </w:r>
    </w:p>
    <w:p w:rsidR="004D024D" w:rsidRDefault="004D024D" w:rsidP="004D024D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0963DE">
        <w:rPr>
          <w:sz w:val="16"/>
          <w:szCs w:val="16"/>
        </w:rPr>
        <w:t>2</w:t>
      </w:r>
      <w:r>
        <w:rPr>
          <w:sz w:val="16"/>
          <w:szCs w:val="16"/>
        </w:rPr>
        <w:t>1.0</w:t>
      </w:r>
      <w:r w:rsidR="000963DE">
        <w:rPr>
          <w:sz w:val="16"/>
          <w:szCs w:val="16"/>
        </w:rPr>
        <w:t>5</w:t>
      </w:r>
      <w:r>
        <w:rPr>
          <w:sz w:val="16"/>
          <w:szCs w:val="16"/>
        </w:rPr>
        <w:t>.2019 № 1</w:t>
      </w:r>
      <w:r w:rsidR="000963DE">
        <w:rPr>
          <w:sz w:val="16"/>
          <w:szCs w:val="16"/>
        </w:rPr>
        <w:t>33</w:t>
      </w:r>
      <w:r>
        <w:rPr>
          <w:sz w:val="16"/>
          <w:szCs w:val="16"/>
        </w:rPr>
        <w:t>)</w:t>
      </w:r>
    </w:p>
    <w:p w:rsidR="004D024D" w:rsidRDefault="004D024D" w:rsidP="004D024D">
      <w:pPr>
        <w:jc w:val="center"/>
      </w:pPr>
    </w:p>
    <w:p w:rsidR="004D024D" w:rsidRDefault="004D024D" w:rsidP="004D024D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4D024D" w:rsidRDefault="004D024D" w:rsidP="004D024D">
      <w:pPr>
        <w:ind w:left="8496"/>
        <w:jc w:val="center"/>
        <w:rPr>
          <w:sz w:val="20"/>
          <w:szCs w:val="20"/>
        </w:rPr>
      </w:pPr>
    </w:p>
    <w:p w:rsidR="004D024D" w:rsidRPr="00527E0B" w:rsidRDefault="004D024D" w:rsidP="004D024D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4D024D" w:rsidRDefault="004D024D" w:rsidP="004D024D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4D024D" w:rsidRPr="004B7C59" w:rsidTr="004D024D">
        <w:trPr>
          <w:trHeight w:val="886"/>
          <w:jc w:val="center"/>
        </w:trPr>
        <w:tc>
          <w:tcPr>
            <w:tcW w:w="4679" w:type="dxa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24D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48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4D024D" w:rsidRPr="004B7C59" w:rsidTr="004D024D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10 685,0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5 574,1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5 732,7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685,7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207,1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4 326,2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3 590,9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3 299,6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1 076,7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976,6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220,8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66,7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1 430,9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24,6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7,4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1 397,3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1 365,0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574,0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272,0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782995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182,0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182,0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142,0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18,0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4D024D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4D024D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4D024D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4D024D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4D024D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4D024D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4D024D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4D024D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4D024D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4D024D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4B7C59" w:rsidTr="004D024D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4B7C59" w:rsidTr="004D024D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4B7C59" w:rsidTr="004D024D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2 417,5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2 417,5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2 415,5 </w:t>
            </w:r>
          </w:p>
        </w:tc>
      </w:tr>
      <w:tr w:rsidR="000963DE" w:rsidRPr="004B7C59" w:rsidTr="004D024D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2 415,5 </w:t>
            </w:r>
          </w:p>
        </w:tc>
      </w:tr>
      <w:tr w:rsidR="000963DE" w:rsidRPr="004B7C59" w:rsidTr="004D024D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2 365,5 </w:t>
            </w:r>
          </w:p>
        </w:tc>
      </w:tr>
      <w:tr w:rsidR="000963DE" w:rsidRPr="004B7C59" w:rsidTr="004D024D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2 365,5 </w:t>
            </w:r>
          </w:p>
        </w:tc>
      </w:tr>
      <w:tr w:rsidR="000963DE" w:rsidRPr="004B7C59" w:rsidTr="004D024D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1 816,8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548,7 </w:t>
            </w:r>
          </w:p>
        </w:tc>
      </w:tr>
      <w:tr w:rsidR="000963DE" w:rsidRPr="004B7C59" w:rsidTr="004D024D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4D024D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B721F2" w:rsidTr="004D024D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B721F2" w:rsidTr="004D024D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B721F2" w:rsidTr="004D024D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B721F2" w:rsidTr="004D024D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B721F2" w:rsidTr="004D024D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</w:tr>
      <w:tr w:rsidR="000963DE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</w:tr>
      <w:tr w:rsidR="000963DE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</w:tr>
      <w:tr w:rsidR="000963DE" w:rsidRPr="004B7C59" w:rsidTr="004D024D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82995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</w:tr>
      <w:tr w:rsidR="000963DE" w:rsidRPr="004B7C59" w:rsidTr="004D024D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</w:tr>
      <w:tr w:rsidR="000963DE" w:rsidRPr="004B7C59" w:rsidTr="004D024D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4D024D" w:rsidRDefault="000963DE">
            <w:pPr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4D024D" w:rsidRDefault="000963DE">
            <w:pPr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4D024D" w:rsidRDefault="000963DE">
            <w:pPr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4D024D" w:rsidRDefault="000963DE">
            <w:pPr>
              <w:jc w:val="right"/>
              <w:rPr>
                <w:sz w:val="20"/>
                <w:szCs w:val="20"/>
              </w:rPr>
            </w:pPr>
            <w:r w:rsidRPr="004D024D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</w:tr>
      <w:tr w:rsidR="000963DE" w:rsidRPr="004B7C59" w:rsidTr="004D024D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</w:tr>
      <w:tr w:rsidR="000963DE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</w:tr>
      <w:tr w:rsidR="000963DE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782995" w:rsidRDefault="000963DE" w:rsidP="004D024D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963DE" w:rsidRPr="00782995" w:rsidRDefault="000963DE" w:rsidP="004D024D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</w:tr>
    </w:tbl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394C9F">
        <w:rPr>
          <w:sz w:val="16"/>
          <w:szCs w:val="16"/>
        </w:rPr>
        <w:t>21.05.2019 № 133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12 170,3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4 455,6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622,4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622,4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622,4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622,4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622,4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622,4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467,1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155,3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3 765,7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3 725,7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3 725,7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3 725,7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3 173,6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3 173,6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2 348,8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824,8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542,1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542,1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542,1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220,8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963DE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66,7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31,5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31,5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31,5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31,5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31,5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31,5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31,5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1 069,3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24,6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Мероприятия по эксплуатации гидротехнического сооружения, обеспечению его безопасности, а также </w:t>
            </w:r>
            <w:r w:rsidRPr="000963DE">
              <w:rPr>
                <w:sz w:val="20"/>
                <w:szCs w:val="20"/>
              </w:rPr>
              <w:lastRenderedPageBreak/>
              <w:t>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878,0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808,0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763,0 </w:t>
            </w:r>
          </w:p>
        </w:tc>
      </w:tr>
      <w:tr w:rsidR="00E27C2F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27C2F" w:rsidRPr="000963DE" w:rsidRDefault="00E27C2F" w:rsidP="00E27C2F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82,</w:t>
            </w:r>
            <w:r>
              <w:rPr>
                <w:sz w:val="20"/>
                <w:szCs w:val="20"/>
              </w:rPr>
              <w:t>9</w:t>
            </w:r>
            <w:r w:rsidRPr="000963DE">
              <w:rPr>
                <w:sz w:val="20"/>
                <w:szCs w:val="20"/>
              </w:rPr>
              <w:t xml:space="preserve"> </w:t>
            </w:r>
          </w:p>
        </w:tc>
      </w:tr>
      <w:tr w:rsidR="00E27C2F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27C2F" w:rsidRPr="000963DE" w:rsidRDefault="00E27C2F" w:rsidP="00E27C2F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82,</w:t>
            </w:r>
            <w:r>
              <w:rPr>
                <w:sz w:val="20"/>
                <w:szCs w:val="20"/>
              </w:rPr>
              <w:t>9</w:t>
            </w:r>
            <w:r w:rsidRPr="000963DE">
              <w:rPr>
                <w:sz w:val="20"/>
                <w:szCs w:val="20"/>
              </w:rPr>
              <w:t xml:space="preserve"> </w:t>
            </w:r>
          </w:p>
        </w:tc>
      </w:tr>
      <w:tr w:rsidR="00E27C2F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27C2F" w:rsidRPr="000963DE" w:rsidRDefault="00E27C2F" w:rsidP="00E27C2F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82,</w:t>
            </w:r>
            <w:r>
              <w:rPr>
                <w:sz w:val="20"/>
                <w:szCs w:val="20"/>
              </w:rPr>
              <w:t>9</w:t>
            </w:r>
            <w:r w:rsidRPr="000963DE">
              <w:rPr>
                <w:sz w:val="20"/>
                <w:szCs w:val="20"/>
              </w:rPr>
              <w:t xml:space="preserve"> </w:t>
            </w:r>
          </w:p>
        </w:tc>
      </w:tr>
      <w:tr w:rsidR="00E27C2F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E27C2F" w:rsidRPr="000963DE" w:rsidRDefault="00E27C2F" w:rsidP="00E27C2F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27C2F" w:rsidRPr="000963DE" w:rsidRDefault="00E27C2F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82,</w:t>
            </w:r>
            <w:r>
              <w:rPr>
                <w:sz w:val="20"/>
                <w:szCs w:val="20"/>
              </w:rPr>
              <w:t>9</w:t>
            </w:r>
            <w:r w:rsidRPr="000963DE">
              <w:rPr>
                <w:sz w:val="20"/>
                <w:szCs w:val="20"/>
              </w:rPr>
              <w:t xml:space="preserve">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680,</w:t>
            </w:r>
            <w:r w:rsidR="00E27C2F">
              <w:rPr>
                <w:sz w:val="20"/>
                <w:szCs w:val="20"/>
              </w:rPr>
              <w:t>1</w:t>
            </w:r>
            <w:r w:rsidRPr="000963DE">
              <w:rPr>
                <w:sz w:val="20"/>
                <w:szCs w:val="20"/>
              </w:rPr>
              <w:t xml:space="preserve">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680,</w:t>
            </w:r>
            <w:r w:rsidR="00E27C2F">
              <w:rPr>
                <w:sz w:val="20"/>
                <w:szCs w:val="20"/>
              </w:rPr>
              <w:t>1</w:t>
            </w:r>
            <w:r w:rsidRPr="000963DE">
              <w:rPr>
                <w:sz w:val="20"/>
                <w:szCs w:val="20"/>
              </w:rPr>
              <w:t xml:space="preserve">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 w:rsidP="00E27C2F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680,</w:t>
            </w:r>
            <w:r w:rsidR="00E27C2F">
              <w:rPr>
                <w:sz w:val="20"/>
                <w:szCs w:val="20"/>
              </w:rPr>
              <w:t>1</w:t>
            </w:r>
            <w:r w:rsidRPr="000963DE">
              <w:rPr>
                <w:sz w:val="20"/>
                <w:szCs w:val="20"/>
              </w:rPr>
              <w:t xml:space="preserve">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</w:t>
            </w:r>
            <w:r w:rsidRPr="000963DE">
              <w:rPr>
                <w:sz w:val="20"/>
                <w:szCs w:val="20"/>
              </w:rPr>
              <w:lastRenderedPageBreak/>
              <w:t xml:space="preserve">дороги общего пользования местного значения в границах населенных пунктов Черемховского МО и </w:t>
            </w:r>
            <w:proofErr w:type="spellStart"/>
            <w:r w:rsidRPr="000963DE">
              <w:rPr>
                <w:sz w:val="20"/>
                <w:szCs w:val="20"/>
              </w:rPr>
              <w:t>зем</w:t>
            </w:r>
            <w:proofErr w:type="spellEnd"/>
            <w:r w:rsidRPr="000963DE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0963DE">
              <w:rPr>
                <w:sz w:val="20"/>
                <w:szCs w:val="20"/>
              </w:rPr>
              <w:t>софинансирования</w:t>
            </w:r>
            <w:proofErr w:type="spellEnd"/>
            <w:r w:rsidRPr="000963DE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1 194,6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243,2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proofErr w:type="spellStart"/>
            <w:r w:rsidRPr="000963DE">
              <w:rPr>
                <w:sz w:val="20"/>
                <w:szCs w:val="20"/>
              </w:rPr>
              <w:t>Жилищно</w:t>
            </w:r>
            <w:proofErr w:type="spellEnd"/>
            <w:r w:rsidRPr="000963DE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223,2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223,2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223,2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963DE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6353E9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6353E9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6353E9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6353E9" w:rsidP="006353E9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6353E9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 w:rsidR="000963DE" w:rsidRPr="000963DE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54,2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6353E9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 w:rsidR="000963DE" w:rsidRPr="000963DE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54,2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6353E9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 w:rsidR="000963DE" w:rsidRPr="000963DE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54,2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6353E9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811011800</w:t>
            </w:r>
            <w:r w:rsidR="000963DE" w:rsidRPr="000963DE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54,2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951,4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951,4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861,4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554,0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341,0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341,0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341,0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341,0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57,0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57,0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57,0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57,0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156,0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156,0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156,0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156,0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23,1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23,1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23,1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23,1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23,1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</w:t>
            </w:r>
            <w:r w:rsidRPr="000963DE">
              <w:rPr>
                <w:sz w:val="20"/>
                <w:szCs w:val="20"/>
              </w:rPr>
              <w:lastRenderedPageBreak/>
              <w:t xml:space="preserve">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36,0 </w:t>
            </w:r>
          </w:p>
        </w:tc>
      </w:tr>
      <w:tr w:rsidR="000963DE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34,3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34,3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34,3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34,3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34,3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199,0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199,0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199,0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199,0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199,0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4 575,7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4 575,7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1 633,8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1 633,8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1 632,7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1 632,7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1 221,2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411,5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</w:tr>
      <w:tr w:rsidR="000963DE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0,1 </w:t>
            </w:r>
          </w:p>
        </w:tc>
      </w:tr>
      <w:tr w:rsidR="000963DE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0,1 </w:t>
            </w:r>
          </w:p>
        </w:tc>
      </w:tr>
      <w:tr w:rsidR="000963DE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2 941,9 </w:t>
            </w:r>
          </w:p>
        </w:tc>
      </w:tr>
      <w:tr w:rsidR="000963DE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2 941,9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</w:t>
            </w:r>
            <w:r w:rsidRPr="000963DE">
              <w:rPr>
                <w:sz w:val="20"/>
                <w:szCs w:val="20"/>
              </w:rPr>
              <w:lastRenderedPageBreak/>
              <w:t>оперативного управления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2 757,9 </w:t>
            </w:r>
          </w:p>
        </w:tc>
      </w:tr>
      <w:tr w:rsidR="000963DE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2 757,9 </w:t>
            </w:r>
          </w:p>
        </w:tc>
      </w:tr>
      <w:tr w:rsidR="000963DE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2 757,9 </w:t>
            </w:r>
          </w:p>
        </w:tc>
      </w:tr>
      <w:tr w:rsidR="000963D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2 757,9 </w:t>
            </w:r>
          </w:p>
        </w:tc>
      </w:tr>
      <w:tr w:rsidR="000963D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0963DE">
              <w:rPr>
                <w:sz w:val="20"/>
                <w:szCs w:val="20"/>
              </w:rPr>
              <w:t>использльзования</w:t>
            </w:r>
            <w:proofErr w:type="spellEnd"/>
            <w:r w:rsidRPr="000963DE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41,0 </w:t>
            </w:r>
          </w:p>
        </w:tc>
      </w:tr>
      <w:tr w:rsidR="000963DE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41,0 </w:t>
            </w:r>
          </w:p>
        </w:tc>
      </w:tr>
      <w:tr w:rsidR="000963D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41,0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41,0 </w:t>
            </w:r>
          </w:p>
        </w:tc>
      </w:tr>
      <w:tr w:rsidR="000963D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130,0 </w:t>
            </w:r>
          </w:p>
        </w:tc>
      </w:tr>
      <w:tr w:rsidR="000963D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130,0 </w:t>
            </w:r>
          </w:p>
        </w:tc>
      </w:tr>
      <w:tr w:rsidR="000963D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Физкультурно-оздоровительная работа и </w:t>
            </w:r>
            <w:r w:rsidRPr="000963DE">
              <w:rPr>
                <w:sz w:val="20"/>
                <w:szCs w:val="20"/>
              </w:rPr>
              <w:lastRenderedPageBreak/>
              <w:t>спортивные мероприятия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lastRenderedPageBreak/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1,2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1,2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1,2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1,2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1,2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1,2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99,5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99,5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99,5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963D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99,5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11,5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11,5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11,5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</w:tr>
      <w:tr w:rsidR="000963D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0963DE" w:rsidRDefault="000963DE" w:rsidP="000963DE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0963DE" w:rsidRDefault="000963DE" w:rsidP="00096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963DE" w:rsidRDefault="000963DE" w:rsidP="00096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0963DE" w:rsidRDefault="000963DE" w:rsidP="000963DE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25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115</w:t>
      </w:r>
    </w:p>
    <w:p w:rsidR="000963DE" w:rsidRDefault="000963DE" w:rsidP="000963DE">
      <w:pPr>
        <w:ind w:left="5955" w:firstLine="708"/>
        <w:rPr>
          <w:sz w:val="16"/>
          <w:szCs w:val="16"/>
        </w:rPr>
      </w:pPr>
      <w:r>
        <w:rPr>
          <w:sz w:val="16"/>
          <w:szCs w:val="16"/>
        </w:rPr>
        <w:t>(в ред. решения от 21.05.2019 № 133)</w:t>
      </w:r>
    </w:p>
    <w:p w:rsidR="000963DE" w:rsidRPr="00D147D3" w:rsidRDefault="000963DE" w:rsidP="000963DE">
      <w:pPr>
        <w:ind w:left="6804" w:hanging="141"/>
        <w:rPr>
          <w:sz w:val="16"/>
          <w:szCs w:val="16"/>
        </w:rPr>
      </w:pPr>
    </w:p>
    <w:p w:rsidR="000963DE" w:rsidRDefault="000963DE" w:rsidP="000963DE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0963DE" w:rsidRDefault="000963DE" w:rsidP="000963DE">
      <w:pPr>
        <w:jc w:val="center"/>
      </w:pP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0963DE" w:rsidRPr="00527E0B" w:rsidRDefault="000963DE" w:rsidP="000963DE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0963DE" w:rsidRPr="004B7C59" w:rsidTr="000963DE">
        <w:trPr>
          <w:trHeight w:val="886"/>
          <w:jc w:val="center"/>
        </w:trPr>
        <w:tc>
          <w:tcPr>
            <w:tcW w:w="4679" w:type="dxa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3DE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0963DE" w:rsidRPr="004B7C59" w:rsidTr="000963DE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10 685,0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5 574,1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5 732,7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892,8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685,7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207,1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4 326,2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4 276,2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3 590,9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3 299,6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1 076,7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976,6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</w:t>
            </w:r>
            <w:r w:rsidRPr="00F86264">
              <w:rPr>
                <w:sz w:val="20"/>
                <w:szCs w:val="20"/>
              </w:rPr>
              <w:lastRenderedPageBreak/>
              <w:t>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F86264">
              <w:rPr>
                <w:sz w:val="20"/>
                <w:szCs w:val="2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287,9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287,5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220,8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66,7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0,4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1 430,9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24,6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7,4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1,6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1 397,3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8626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32,3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1 365,0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1 340,0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25,0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574,0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272,0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90,0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8626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182,0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182,0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30,0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0963DE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0963DE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0963DE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0963DE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4B7C59" w:rsidTr="000963DE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142,0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110,0 </w:t>
            </w:r>
          </w:p>
        </w:tc>
      </w:tr>
      <w:tr w:rsidR="000963DE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18,0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16,0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7,0 </w:t>
            </w:r>
          </w:p>
        </w:tc>
      </w:tr>
      <w:tr w:rsidR="000963DE" w:rsidRPr="004B7C59" w:rsidTr="000963DE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20,0 </w:t>
            </w:r>
          </w:p>
        </w:tc>
      </w:tr>
      <w:tr w:rsidR="000963DE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13,0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0963DE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0963DE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0963DE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0963DE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0963DE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4B7C59" w:rsidTr="000963DE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5,0 </w:t>
            </w:r>
          </w:p>
        </w:tc>
      </w:tr>
      <w:tr w:rsidR="000963DE" w:rsidRPr="00B721F2" w:rsidTr="00096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0,0 </w:t>
            </w:r>
          </w:p>
        </w:tc>
      </w:tr>
      <w:tr w:rsidR="000963DE" w:rsidRPr="00B721F2" w:rsidTr="000963DE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10,0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B721F2" w:rsidTr="000963DE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42,0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2 417,5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2 417,5 </w:t>
            </w:r>
          </w:p>
        </w:tc>
      </w:tr>
      <w:tr w:rsidR="000963DE" w:rsidRPr="00B721F2" w:rsidTr="00096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2 415,5 </w:t>
            </w:r>
          </w:p>
        </w:tc>
      </w:tr>
      <w:tr w:rsidR="000963DE" w:rsidRPr="00B721F2" w:rsidTr="000963DE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2 415,5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2 365,5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2 365,5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1 816,8 </w:t>
            </w:r>
          </w:p>
        </w:tc>
      </w:tr>
      <w:tr w:rsidR="000963DE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548,7 </w:t>
            </w:r>
          </w:p>
        </w:tc>
      </w:tr>
      <w:tr w:rsidR="000963D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50,0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432,0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626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111,0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60,7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0963DE" w:rsidRDefault="000963DE">
            <w:pPr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23,0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</w:tr>
      <w:tr w:rsidR="000963D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0963DE" w:rsidRPr="00F86264" w:rsidRDefault="000963DE" w:rsidP="000963DE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F86264" w:rsidRDefault="000963DE" w:rsidP="000963DE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0963DE" w:rsidRPr="000963DE" w:rsidRDefault="000963DE">
            <w:pPr>
              <w:jc w:val="right"/>
              <w:rPr>
                <w:sz w:val="20"/>
                <w:szCs w:val="20"/>
              </w:rPr>
            </w:pPr>
            <w:r w:rsidRPr="000963DE">
              <w:rPr>
                <w:sz w:val="20"/>
                <w:szCs w:val="20"/>
              </w:rPr>
              <w:t xml:space="preserve">27,3 </w:t>
            </w:r>
          </w:p>
        </w:tc>
      </w:tr>
    </w:tbl>
    <w:p w:rsidR="000963DE" w:rsidRDefault="000963DE" w:rsidP="000963DE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394C9F">
        <w:rPr>
          <w:sz w:val="16"/>
          <w:szCs w:val="16"/>
        </w:rPr>
        <w:t>21.05.2019 № 133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3610B8" w:rsidRPr="000D29B7" w:rsidTr="000D29B7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3610B8" w:rsidRDefault="003610B8" w:rsidP="003610B8">
            <w:pPr>
              <w:jc w:val="right"/>
              <w:rPr>
                <w:sz w:val="20"/>
                <w:szCs w:val="20"/>
              </w:rPr>
            </w:pPr>
            <w:r w:rsidRPr="003610B8">
              <w:rPr>
                <w:sz w:val="20"/>
                <w:szCs w:val="20"/>
              </w:rPr>
              <w:t>2811,9</w:t>
            </w:r>
          </w:p>
        </w:tc>
      </w:tr>
      <w:tr w:rsidR="003610B8" w:rsidRPr="000D29B7" w:rsidTr="000D29B7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3610B8" w:rsidRDefault="003610B8" w:rsidP="003610B8">
            <w:pPr>
              <w:jc w:val="right"/>
              <w:rPr>
                <w:sz w:val="20"/>
                <w:szCs w:val="20"/>
              </w:rPr>
            </w:pPr>
            <w:r w:rsidRPr="003610B8">
              <w:rPr>
                <w:sz w:val="20"/>
                <w:szCs w:val="20"/>
              </w:rPr>
              <w:t>130,0</w:t>
            </w:r>
          </w:p>
        </w:tc>
      </w:tr>
      <w:tr w:rsidR="003610B8" w:rsidRPr="000D29B7" w:rsidTr="000D29B7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B8" w:rsidRPr="000D29B7" w:rsidRDefault="003610B8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B8" w:rsidRPr="000D29B7" w:rsidRDefault="003610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3610B8" w:rsidRDefault="003610B8" w:rsidP="003610B8">
            <w:pPr>
              <w:jc w:val="right"/>
              <w:rPr>
                <w:sz w:val="20"/>
                <w:szCs w:val="20"/>
              </w:rPr>
            </w:pPr>
            <w:r w:rsidRPr="003610B8">
              <w:rPr>
                <w:sz w:val="20"/>
                <w:szCs w:val="20"/>
              </w:rPr>
              <w:t>40,0</w:t>
            </w:r>
          </w:p>
        </w:tc>
      </w:tr>
      <w:tr w:rsidR="003610B8" w:rsidRPr="000D29B7" w:rsidTr="00E27C2F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3610B8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3610B8" w:rsidRDefault="003610B8" w:rsidP="003610B8">
            <w:pPr>
              <w:jc w:val="right"/>
              <w:rPr>
                <w:sz w:val="20"/>
                <w:szCs w:val="20"/>
              </w:rPr>
            </w:pPr>
            <w:r w:rsidRPr="003610B8">
              <w:rPr>
                <w:sz w:val="20"/>
                <w:szCs w:val="20"/>
              </w:rPr>
              <w:t>70,0</w:t>
            </w:r>
          </w:p>
        </w:tc>
      </w:tr>
      <w:tr w:rsidR="003610B8" w:rsidRPr="000D29B7" w:rsidTr="00E27C2F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3610B8" w:rsidRDefault="003610B8" w:rsidP="003610B8">
            <w:pPr>
              <w:jc w:val="right"/>
              <w:rPr>
                <w:sz w:val="20"/>
                <w:szCs w:val="20"/>
              </w:rPr>
            </w:pPr>
            <w:r w:rsidRPr="003610B8">
              <w:rPr>
                <w:sz w:val="20"/>
                <w:szCs w:val="20"/>
              </w:rPr>
              <w:t>153,2</w:t>
            </w:r>
          </w:p>
        </w:tc>
      </w:tr>
      <w:tr w:rsidR="003610B8" w:rsidRPr="000D29B7" w:rsidTr="000D29B7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3610B8" w:rsidRDefault="003610B8" w:rsidP="003610B8">
            <w:pPr>
              <w:jc w:val="right"/>
              <w:rPr>
                <w:sz w:val="20"/>
                <w:szCs w:val="20"/>
              </w:rPr>
            </w:pPr>
            <w:r w:rsidRPr="003610B8">
              <w:rPr>
                <w:sz w:val="20"/>
                <w:szCs w:val="20"/>
              </w:rPr>
              <w:t>951,4</w:t>
            </w:r>
          </w:p>
        </w:tc>
      </w:tr>
      <w:tr w:rsidR="003610B8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3610B8" w:rsidRDefault="003610B8" w:rsidP="00E27C2F">
            <w:pPr>
              <w:jc w:val="right"/>
              <w:rPr>
                <w:sz w:val="20"/>
                <w:szCs w:val="20"/>
              </w:rPr>
            </w:pPr>
            <w:r w:rsidRPr="003610B8">
              <w:rPr>
                <w:sz w:val="20"/>
                <w:szCs w:val="20"/>
              </w:rPr>
              <w:t>127,</w:t>
            </w:r>
            <w:r w:rsidR="00E27C2F">
              <w:rPr>
                <w:sz w:val="20"/>
                <w:szCs w:val="20"/>
              </w:rPr>
              <w:t>9</w:t>
            </w:r>
          </w:p>
        </w:tc>
      </w:tr>
      <w:tr w:rsidR="003610B8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3610B8" w:rsidRDefault="003610B8" w:rsidP="00E27C2F">
            <w:pPr>
              <w:jc w:val="right"/>
              <w:rPr>
                <w:sz w:val="20"/>
                <w:szCs w:val="20"/>
              </w:rPr>
            </w:pPr>
            <w:r w:rsidRPr="003610B8">
              <w:rPr>
                <w:sz w:val="20"/>
                <w:szCs w:val="20"/>
              </w:rPr>
              <w:t>680,</w:t>
            </w:r>
            <w:r w:rsidR="00E27C2F">
              <w:rPr>
                <w:sz w:val="20"/>
                <w:szCs w:val="20"/>
              </w:rPr>
              <w:t>1</w:t>
            </w:r>
          </w:p>
        </w:tc>
      </w:tr>
      <w:tr w:rsidR="003610B8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0D29B7" w:rsidRDefault="003610B8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B8" w:rsidRPr="003610B8" w:rsidRDefault="003610B8" w:rsidP="003610B8">
            <w:pPr>
              <w:jc w:val="right"/>
              <w:rPr>
                <w:sz w:val="20"/>
                <w:szCs w:val="20"/>
              </w:rPr>
            </w:pPr>
            <w:r w:rsidRPr="003610B8">
              <w:rPr>
                <w:sz w:val="20"/>
                <w:szCs w:val="20"/>
              </w:rPr>
              <w:t>4964,5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3610B8" w:rsidRDefault="003610B8" w:rsidP="00002673">
      <w:pPr>
        <w:ind w:left="6804" w:firstLine="276"/>
        <w:rPr>
          <w:sz w:val="16"/>
          <w:szCs w:val="16"/>
        </w:rPr>
      </w:pPr>
    </w:p>
    <w:p w:rsidR="003610B8" w:rsidRDefault="003610B8" w:rsidP="00002673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3610B8">
        <w:rPr>
          <w:sz w:val="16"/>
          <w:szCs w:val="16"/>
        </w:rPr>
        <w:t>20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394C9F">
        <w:rPr>
          <w:sz w:val="16"/>
          <w:szCs w:val="16"/>
        </w:rPr>
        <w:t>21.05.2019 № 133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rPr>
          <w:sz w:val="16"/>
          <w:szCs w:val="16"/>
        </w:rPr>
      </w:pPr>
    </w:p>
    <w:p w:rsidR="003610B8" w:rsidRDefault="003610B8" w:rsidP="003610B8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3610B8" w:rsidRDefault="003610B8" w:rsidP="003610B8">
      <w:pPr>
        <w:jc w:val="center"/>
      </w:pPr>
      <w:r w:rsidRPr="00EC7901">
        <w:t xml:space="preserve">на </w:t>
      </w:r>
      <w:r>
        <w:t>2019</w:t>
      </w:r>
      <w:r w:rsidRPr="00EC7901">
        <w:t xml:space="preserve"> год и на плановый период 20</w:t>
      </w:r>
      <w:r>
        <w:t>20</w:t>
      </w:r>
      <w:r w:rsidRPr="00EC7901">
        <w:t xml:space="preserve"> и </w:t>
      </w:r>
      <w:r>
        <w:t>2021</w:t>
      </w:r>
      <w:r w:rsidRPr="00EC7901">
        <w:t xml:space="preserve"> годов</w:t>
      </w:r>
    </w:p>
    <w:p w:rsidR="003610B8" w:rsidRDefault="003610B8" w:rsidP="003610B8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3610B8" w:rsidRPr="00C33E25" w:rsidTr="00E27C2F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3610B8" w:rsidRPr="00C33E25" w:rsidRDefault="003610B8" w:rsidP="00E27C2F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10B8" w:rsidRPr="00C33E25" w:rsidRDefault="003610B8" w:rsidP="00E27C2F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3610B8" w:rsidRDefault="003610B8" w:rsidP="003610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3610B8" w:rsidRDefault="003610B8" w:rsidP="003610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3610B8" w:rsidRDefault="003610B8" w:rsidP="003610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 год</w:t>
            </w:r>
          </w:p>
        </w:tc>
      </w:tr>
      <w:tr w:rsidR="003610B8" w:rsidRPr="00C33E25" w:rsidTr="00E27C2F">
        <w:trPr>
          <w:trHeight w:val="230"/>
        </w:trPr>
        <w:tc>
          <w:tcPr>
            <w:tcW w:w="2707" w:type="dxa"/>
            <w:vMerge w:val="restart"/>
            <w:vAlign w:val="center"/>
          </w:tcPr>
          <w:p w:rsidR="003610B8" w:rsidRPr="001843B8" w:rsidRDefault="003610B8" w:rsidP="00E27C2F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3610B8" w:rsidRPr="001843B8" w:rsidRDefault="003610B8" w:rsidP="00E27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7312D">
              <w:rPr>
                <w:sz w:val="20"/>
                <w:szCs w:val="20"/>
              </w:rPr>
              <w:t>ормировани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утверждени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исполнени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 xml:space="preserve"> бюджета поселения, </w:t>
            </w:r>
            <w:proofErr w:type="gramStart"/>
            <w:r w:rsidRPr="00B7312D">
              <w:rPr>
                <w:sz w:val="20"/>
                <w:szCs w:val="20"/>
              </w:rPr>
              <w:t>реализуемых</w:t>
            </w:r>
            <w:proofErr w:type="gramEnd"/>
            <w:r w:rsidRPr="00B7312D">
              <w:rPr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</w:tcPr>
          <w:p w:rsidR="003610B8" w:rsidRPr="00082997" w:rsidRDefault="003610B8" w:rsidP="003610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3610B8" w:rsidRPr="00082997" w:rsidRDefault="003610B8" w:rsidP="00E27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3610B8" w:rsidRPr="00082997" w:rsidRDefault="003610B8" w:rsidP="00E27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C14FE8" w:rsidRPr="00C33E25" w:rsidTr="00E27C2F">
        <w:trPr>
          <w:trHeight w:val="230"/>
        </w:trPr>
        <w:tc>
          <w:tcPr>
            <w:tcW w:w="2707" w:type="dxa"/>
            <w:vMerge/>
            <w:vAlign w:val="center"/>
          </w:tcPr>
          <w:p w:rsidR="00C14FE8" w:rsidRPr="001843B8" w:rsidRDefault="00C14FE8" w:rsidP="00E27C2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14FE8" w:rsidRDefault="00C14FE8" w:rsidP="00C14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4FE8">
              <w:rPr>
                <w:sz w:val="20"/>
                <w:szCs w:val="20"/>
              </w:rPr>
              <w:t>существлени</w:t>
            </w:r>
            <w:r>
              <w:rPr>
                <w:sz w:val="20"/>
                <w:szCs w:val="20"/>
              </w:rPr>
              <w:t xml:space="preserve">е </w:t>
            </w:r>
            <w:r w:rsidRPr="00C14F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1276" w:type="dxa"/>
          </w:tcPr>
          <w:p w:rsidR="00C14FE8" w:rsidRDefault="00C14FE8" w:rsidP="003610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</w:tcPr>
          <w:p w:rsidR="00C14FE8" w:rsidRDefault="00C14FE8" w:rsidP="00E27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C14FE8" w:rsidRDefault="00C14FE8" w:rsidP="00E27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3610B8" w:rsidRPr="00C33E25" w:rsidTr="00E27C2F">
        <w:trPr>
          <w:trHeight w:val="230"/>
        </w:trPr>
        <w:tc>
          <w:tcPr>
            <w:tcW w:w="2707" w:type="dxa"/>
            <w:vMerge/>
            <w:vAlign w:val="center"/>
          </w:tcPr>
          <w:p w:rsidR="003610B8" w:rsidRPr="001843B8" w:rsidRDefault="003610B8" w:rsidP="00E27C2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610B8" w:rsidRPr="001843B8" w:rsidRDefault="003610B8" w:rsidP="00E27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в части полномочий по ЖКХ</w:t>
            </w:r>
          </w:p>
        </w:tc>
        <w:tc>
          <w:tcPr>
            <w:tcW w:w="1276" w:type="dxa"/>
          </w:tcPr>
          <w:p w:rsidR="003610B8" w:rsidRPr="00082997" w:rsidRDefault="003610B8" w:rsidP="003610B8">
            <w:pPr>
              <w:jc w:val="right"/>
              <w:rPr>
                <w:sz w:val="20"/>
                <w:szCs w:val="20"/>
              </w:rPr>
            </w:pPr>
            <w:r w:rsidRPr="000829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0829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10B8" w:rsidRDefault="003610B8" w:rsidP="003610B8">
            <w:pPr>
              <w:jc w:val="right"/>
            </w:pPr>
            <w:r w:rsidRPr="00554590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</w:tcPr>
          <w:p w:rsidR="003610B8" w:rsidRDefault="003610B8" w:rsidP="003610B8">
            <w:pPr>
              <w:jc w:val="right"/>
            </w:pPr>
            <w:r w:rsidRPr="00554590">
              <w:rPr>
                <w:sz w:val="20"/>
                <w:szCs w:val="20"/>
              </w:rPr>
              <w:t>27,3</w:t>
            </w:r>
          </w:p>
        </w:tc>
      </w:tr>
      <w:tr w:rsidR="003610B8" w:rsidRPr="00C33E25" w:rsidTr="00E27C2F">
        <w:trPr>
          <w:trHeight w:val="230"/>
        </w:trPr>
        <w:tc>
          <w:tcPr>
            <w:tcW w:w="2707" w:type="dxa"/>
            <w:vMerge/>
            <w:vAlign w:val="center"/>
          </w:tcPr>
          <w:p w:rsidR="003610B8" w:rsidRPr="001843B8" w:rsidRDefault="003610B8" w:rsidP="00E27C2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610B8" w:rsidRPr="001843B8" w:rsidRDefault="003610B8" w:rsidP="00E27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27195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Pr="00727195">
              <w:rPr>
                <w:sz w:val="20"/>
                <w:szCs w:val="20"/>
              </w:rPr>
              <w:t>, реконструкци</w:t>
            </w:r>
            <w:r>
              <w:rPr>
                <w:sz w:val="20"/>
                <w:szCs w:val="20"/>
              </w:rPr>
              <w:t>я</w:t>
            </w:r>
            <w:r w:rsidRPr="00727195">
              <w:rPr>
                <w:sz w:val="20"/>
                <w:szCs w:val="20"/>
              </w:rPr>
              <w:t>, ремонт, капитальн</w:t>
            </w:r>
            <w:r>
              <w:rPr>
                <w:sz w:val="20"/>
                <w:szCs w:val="20"/>
              </w:rPr>
              <w:t>ый</w:t>
            </w:r>
            <w:r w:rsidRPr="00727195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 xml:space="preserve"> </w:t>
            </w:r>
            <w:r w:rsidRPr="00727195">
              <w:rPr>
                <w:sz w:val="20"/>
                <w:szCs w:val="20"/>
              </w:rPr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</w:tcPr>
          <w:p w:rsidR="003610B8" w:rsidRPr="00082997" w:rsidRDefault="00C14FE8" w:rsidP="00E27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="003610B8">
              <w:rPr>
                <w:sz w:val="20"/>
                <w:szCs w:val="20"/>
              </w:rPr>
              <w:t>,</w:t>
            </w:r>
            <w:r w:rsidR="00E27C2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10B8" w:rsidRPr="00082997" w:rsidRDefault="003610B8" w:rsidP="00E27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610B8" w:rsidRPr="00082997" w:rsidRDefault="003610B8" w:rsidP="00E27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10B8" w:rsidRPr="00C33E25" w:rsidTr="00E27C2F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3610B8" w:rsidRPr="001843B8" w:rsidRDefault="003610B8" w:rsidP="00E27C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3610B8" w:rsidRPr="001843B8" w:rsidRDefault="003610B8" w:rsidP="00E27C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10B8" w:rsidRPr="00082997" w:rsidRDefault="00C14FE8" w:rsidP="00E27C2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779</w:t>
            </w:r>
            <w:r w:rsidR="003610B8" w:rsidRPr="00082997">
              <w:rPr>
                <w:bCs/>
                <w:sz w:val="20"/>
                <w:szCs w:val="20"/>
              </w:rPr>
              <w:t>,</w:t>
            </w:r>
            <w:r w:rsidR="00E27C2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610B8" w:rsidRPr="00082997" w:rsidRDefault="00C14FE8" w:rsidP="00C14F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  <w:r w:rsidR="003610B8" w:rsidRPr="0008299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610B8" w:rsidRPr="00082997" w:rsidRDefault="00C14FE8" w:rsidP="00E27C2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  <w:r w:rsidRPr="0008299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3610B8" w:rsidRDefault="003610B8" w:rsidP="003610B8">
      <w:pPr>
        <w:jc w:val="center"/>
      </w:pPr>
    </w:p>
    <w:p w:rsidR="003610B8" w:rsidRDefault="003610B8" w:rsidP="003610B8">
      <w:pPr>
        <w:ind w:firstLine="709"/>
        <w:jc w:val="both"/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C14FE8" w:rsidRDefault="00C14FE8" w:rsidP="0063637C">
      <w:pPr>
        <w:ind w:left="6804" w:firstLine="276"/>
        <w:rPr>
          <w:sz w:val="16"/>
          <w:szCs w:val="16"/>
        </w:rPr>
      </w:pPr>
    </w:p>
    <w:p w:rsidR="00C14FE8" w:rsidRDefault="00C14FE8" w:rsidP="0063637C">
      <w:pPr>
        <w:ind w:left="6804" w:firstLine="276"/>
        <w:rPr>
          <w:sz w:val="16"/>
          <w:szCs w:val="16"/>
        </w:rPr>
      </w:pPr>
    </w:p>
    <w:p w:rsidR="00C14FE8" w:rsidRDefault="00C14FE8" w:rsidP="0063637C">
      <w:pPr>
        <w:ind w:left="6804" w:firstLine="276"/>
        <w:rPr>
          <w:sz w:val="16"/>
          <w:szCs w:val="16"/>
        </w:rPr>
      </w:pPr>
    </w:p>
    <w:p w:rsidR="00C14FE8" w:rsidRDefault="00C14FE8" w:rsidP="0063637C">
      <w:pPr>
        <w:ind w:left="6804" w:firstLine="276"/>
        <w:rPr>
          <w:sz w:val="16"/>
          <w:szCs w:val="16"/>
        </w:rPr>
      </w:pPr>
    </w:p>
    <w:p w:rsidR="00C14FE8" w:rsidRDefault="00C14FE8" w:rsidP="0063637C">
      <w:pPr>
        <w:ind w:left="6804" w:firstLine="276"/>
        <w:rPr>
          <w:sz w:val="16"/>
          <w:szCs w:val="16"/>
        </w:rPr>
      </w:pPr>
    </w:p>
    <w:p w:rsidR="00C14FE8" w:rsidRDefault="00C14FE8" w:rsidP="0063637C">
      <w:pPr>
        <w:ind w:left="6804" w:firstLine="276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C14FE8">
        <w:rPr>
          <w:sz w:val="16"/>
          <w:szCs w:val="16"/>
        </w:rPr>
        <w:t>2</w:t>
      </w:r>
      <w:r w:rsidR="008556CF">
        <w:rPr>
          <w:sz w:val="16"/>
          <w:szCs w:val="16"/>
        </w:rPr>
        <w:t>2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63637C" w:rsidRDefault="0063637C" w:rsidP="0063637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394C9F">
        <w:rPr>
          <w:sz w:val="16"/>
          <w:szCs w:val="16"/>
        </w:rPr>
        <w:t>21.05.2019 № 133</w:t>
      </w:r>
      <w:r>
        <w:rPr>
          <w:sz w:val="16"/>
          <w:szCs w:val="16"/>
        </w:rPr>
        <w:t>)</w:t>
      </w: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/>
    <w:p w:rsidR="00C14FE8" w:rsidRPr="00C14FE8" w:rsidRDefault="00C14FE8" w:rsidP="00C14FE8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Порядок</w:t>
      </w:r>
    </w:p>
    <w:p w:rsidR="00C14FE8" w:rsidRPr="00C14FE8" w:rsidRDefault="00C14FE8" w:rsidP="00C14FE8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</w:t>
      </w:r>
    </w:p>
    <w:p w:rsidR="00C14FE8" w:rsidRPr="00C14FE8" w:rsidRDefault="00C14FE8" w:rsidP="00C14FE8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на 201</w:t>
      </w:r>
      <w:r>
        <w:rPr>
          <w:bCs/>
        </w:rPr>
        <w:t>9</w:t>
      </w:r>
      <w:r w:rsidRPr="00C14FE8">
        <w:rPr>
          <w:bCs/>
        </w:rPr>
        <w:t xml:space="preserve"> год и на плановый период 20</w:t>
      </w:r>
      <w:r>
        <w:rPr>
          <w:bCs/>
        </w:rPr>
        <w:t>20</w:t>
      </w:r>
      <w:r w:rsidRPr="00C14FE8">
        <w:rPr>
          <w:bCs/>
        </w:rPr>
        <w:t xml:space="preserve"> и 20</w:t>
      </w:r>
      <w:r>
        <w:rPr>
          <w:bCs/>
        </w:rPr>
        <w:t>21</w:t>
      </w:r>
      <w:r w:rsidRPr="00C14FE8">
        <w:rPr>
          <w:bCs/>
        </w:rPr>
        <w:t xml:space="preserve"> годов</w:t>
      </w:r>
    </w:p>
    <w:p w:rsidR="00C14FE8" w:rsidRPr="00A74996" w:rsidRDefault="00C14FE8" w:rsidP="00C14FE8">
      <w:pPr>
        <w:autoSpaceDE w:val="0"/>
        <w:autoSpaceDN w:val="0"/>
        <w:adjustRightInd w:val="0"/>
        <w:jc w:val="center"/>
      </w:pPr>
      <w:r w:rsidRPr="00845B45">
        <w:rPr>
          <w:b/>
          <w:bCs/>
        </w:rPr>
        <w:t xml:space="preserve"> </w:t>
      </w:r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иных межбюджетных трансфертов </w:t>
      </w:r>
      <w:r w:rsidRPr="00845B45">
        <w:t>Контрольно-счетной  палате Черемховского районного муниципального образования</w:t>
      </w:r>
      <w:r w:rsidRPr="00A74996">
        <w:t xml:space="preserve"> для осуществления </w:t>
      </w:r>
      <w:r w:rsidRPr="00845B45">
        <w:t xml:space="preserve">внешнего  муниципального финансового контроля  в Черемховском муниципальном образовании </w:t>
      </w:r>
      <w:r w:rsidRPr="00A74996">
        <w:t>(далее - межбюджетные трансферты), осуществляется администрацией Черемховского сельского поселения.</w:t>
      </w:r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</w:pPr>
      <w:r w:rsidRPr="00A74996">
        <w:t xml:space="preserve">2. </w:t>
      </w:r>
      <w:proofErr w:type="gramStart"/>
      <w:r w:rsidRPr="00A74996">
        <w:t>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521 06 0</w:t>
      </w:r>
      <w:r>
        <w:t>3</w:t>
      </w:r>
      <w:r w:rsidRPr="00A74996">
        <w:t xml:space="preserve"> «</w:t>
      </w:r>
      <w:r w:rsidRPr="00545322"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A74996">
        <w:t xml:space="preserve">», виду расходов </w:t>
      </w:r>
      <w:r>
        <w:t>540</w:t>
      </w:r>
      <w:r w:rsidRPr="00A74996">
        <w:t xml:space="preserve"> «</w:t>
      </w:r>
      <w:r w:rsidRPr="00545322">
        <w:t>Иные межбюджетные трансферты</w:t>
      </w:r>
      <w:r w:rsidRPr="00A74996">
        <w:t>».</w:t>
      </w:r>
      <w:proofErr w:type="gramEnd"/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на </w:t>
      </w:r>
      <w:r>
        <w:t>2019</w:t>
      </w:r>
      <w:r w:rsidRPr="00A74996">
        <w:t xml:space="preserve"> год и на плановый период 20</w:t>
      </w:r>
      <w:r>
        <w:t>20</w:t>
      </w:r>
      <w:r w:rsidRPr="00A74996">
        <w:t xml:space="preserve"> и </w:t>
      </w:r>
      <w:r>
        <w:t>2021</w:t>
      </w:r>
      <w:r w:rsidRPr="00A74996">
        <w:t xml:space="preserve"> годов, в соответствии со сводной бюджетной росписью.</w:t>
      </w:r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</w:pPr>
      <w:r w:rsidRPr="00A74996">
        <w:t xml:space="preserve">4. Межбюджетные трансферты предоставляются на основании заключенного между администрацией Черемховского сельского поселения и </w:t>
      </w:r>
      <w:r w:rsidRPr="00845B45">
        <w:t>Контрольно-счетной  палат</w:t>
      </w:r>
      <w:r>
        <w:t>ой</w:t>
      </w:r>
      <w:r w:rsidRPr="00845B45">
        <w:t xml:space="preserve"> Черемховского районного муниципального образования</w:t>
      </w:r>
      <w:r w:rsidRPr="00A74996">
        <w:t xml:space="preserve"> соглашения.</w:t>
      </w:r>
    </w:p>
    <w:p w:rsidR="00C14FE8" w:rsidRPr="000938E6" w:rsidRDefault="00C14FE8" w:rsidP="00C14FE8">
      <w:pPr>
        <w:ind w:firstLine="709"/>
        <w:jc w:val="both"/>
      </w:pPr>
    </w:p>
    <w:p w:rsidR="00C14FE8" w:rsidRDefault="00C14FE8" w:rsidP="00C14FE8">
      <w:pPr>
        <w:ind w:firstLine="709"/>
        <w:jc w:val="both"/>
        <w:rPr>
          <w:sz w:val="28"/>
          <w:szCs w:val="28"/>
        </w:rPr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63637C" w:rsidRDefault="0063637C" w:rsidP="0063637C">
      <w:pPr>
        <w:ind w:firstLine="709"/>
        <w:jc w:val="both"/>
      </w:pPr>
    </w:p>
    <w:p w:rsidR="00C14FE8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14FE8" w:rsidRDefault="00C14FE8" w:rsidP="0063637C">
      <w:pPr>
        <w:ind w:left="6804" w:hanging="141"/>
        <w:rPr>
          <w:sz w:val="16"/>
          <w:szCs w:val="16"/>
        </w:rPr>
      </w:pPr>
    </w:p>
    <w:p w:rsidR="00C14FE8" w:rsidRDefault="00C14FE8" w:rsidP="0063637C">
      <w:pPr>
        <w:ind w:left="6804" w:hanging="141"/>
        <w:rPr>
          <w:sz w:val="16"/>
          <w:szCs w:val="16"/>
        </w:rPr>
      </w:pPr>
    </w:p>
    <w:p w:rsidR="0063637C" w:rsidRDefault="0063637C" w:rsidP="00C14FE8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8556CF">
        <w:rPr>
          <w:sz w:val="16"/>
          <w:szCs w:val="16"/>
        </w:rPr>
        <w:t>23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63637C" w:rsidRDefault="0063637C" w:rsidP="0063637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394C9F">
        <w:rPr>
          <w:sz w:val="16"/>
          <w:szCs w:val="16"/>
        </w:rPr>
        <w:t>21.05.2019 № 133</w:t>
      </w:r>
      <w:r>
        <w:rPr>
          <w:sz w:val="16"/>
          <w:szCs w:val="16"/>
        </w:rPr>
        <w:t>)</w:t>
      </w: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C14FE8" w:rsidRPr="00D147D3" w:rsidRDefault="00C14FE8" w:rsidP="00C14FE8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C14FE8" w:rsidRDefault="00C14FE8" w:rsidP="00C14FE8">
      <w:pPr>
        <w:autoSpaceDE w:val="0"/>
        <w:autoSpaceDN w:val="0"/>
        <w:adjustRightInd w:val="0"/>
        <w:jc w:val="center"/>
        <w:rPr>
          <w:b/>
          <w:bCs/>
        </w:rPr>
      </w:pPr>
      <w:r w:rsidRPr="00727195"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</w:t>
      </w:r>
      <w:r>
        <w:t>строительству, реконструкции, ремонту, капитальному ремонту  автомобильных дорог местного значения в границах населенных пунктов поселения</w:t>
      </w:r>
      <w:r w:rsidRPr="00727195">
        <w:t xml:space="preserve"> на 201</w:t>
      </w:r>
      <w:r w:rsidR="008556CF">
        <w:t>9</w:t>
      </w:r>
      <w:r w:rsidRPr="00727195">
        <w:t xml:space="preserve"> год</w:t>
      </w:r>
    </w:p>
    <w:p w:rsidR="00C14FE8" w:rsidRPr="00A74996" w:rsidRDefault="00C14FE8" w:rsidP="00C14FE8">
      <w:pPr>
        <w:autoSpaceDE w:val="0"/>
        <w:autoSpaceDN w:val="0"/>
        <w:adjustRightInd w:val="0"/>
        <w:jc w:val="center"/>
      </w:pPr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</w:t>
      </w:r>
      <w:r w:rsidRPr="00727195">
        <w:t xml:space="preserve">иных межбюджетных трансфертов, необходимых для осуществления переданных Черемховскому районному муниципальному образованию отдельных полномочий по </w:t>
      </w:r>
      <w:r>
        <w:t>строительству, реконструкции, ремонту, капитальному ремонту  автомобильных дорог местного значения в границах населенных пунктов поселения</w:t>
      </w:r>
      <w:r w:rsidRPr="00727195">
        <w:t xml:space="preserve"> на 201</w:t>
      </w:r>
      <w:r w:rsidR="008556CF">
        <w:t>9</w:t>
      </w:r>
      <w:r w:rsidRPr="00727195">
        <w:t xml:space="preserve"> год</w:t>
      </w:r>
      <w:r w:rsidRPr="00A74996">
        <w:t xml:space="preserve"> (далее - межбюджетные трансферты), осуществляется администрацией Черемховского сельского поселения.</w:t>
      </w:r>
    </w:p>
    <w:p w:rsidR="00C14FE8" w:rsidRDefault="00C14FE8" w:rsidP="00C14FE8">
      <w:pPr>
        <w:autoSpaceDE w:val="0"/>
        <w:autoSpaceDN w:val="0"/>
        <w:adjustRightInd w:val="0"/>
        <w:ind w:firstLine="709"/>
        <w:jc w:val="both"/>
      </w:pPr>
      <w:r w:rsidRPr="00A74996">
        <w:t xml:space="preserve"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</w:t>
      </w:r>
      <w:r>
        <w:t>04</w:t>
      </w:r>
      <w:r w:rsidRPr="00A74996">
        <w:t xml:space="preserve"> «</w:t>
      </w:r>
      <w:r>
        <w:t>Национальная экономика</w:t>
      </w:r>
      <w:r w:rsidRPr="00A74996">
        <w:t>», подразделу 0</w:t>
      </w:r>
      <w:r>
        <w:t>9</w:t>
      </w:r>
      <w:r w:rsidRPr="00A74996">
        <w:t xml:space="preserve"> «</w:t>
      </w:r>
      <w:r w:rsidRPr="00727195">
        <w:t>Дорожное хозяйство (дорожные фонды)</w:t>
      </w:r>
      <w:r>
        <w:t>»</w:t>
      </w:r>
    </w:p>
    <w:p w:rsidR="00C14FE8" w:rsidRDefault="00C14FE8" w:rsidP="00C14FE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="008556CF" w:rsidRPr="008556CF">
        <w:t>8900126060</w:t>
      </w:r>
      <w:r w:rsidRPr="00A74996">
        <w:t xml:space="preserve"> «</w:t>
      </w:r>
      <w:r w:rsidRPr="00672510">
        <w:t xml:space="preserve">Межбюджетные трансферты на осуществление </w:t>
      </w:r>
      <w:r w:rsidRPr="00727195">
        <w:t>отдельных</w:t>
      </w:r>
      <w:r w:rsidRPr="00672510">
        <w:t xml:space="preserve"> полномочий поселения по </w:t>
      </w:r>
      <w:r>
        <w:t>строительству, реконструкции, ремонту, капитальному ремонту  автомобильных дорог местного значения в границах населенных пунктов поселения</w:t>
      </w:r>
      <w:r w:rsidRPr="00A74996">
        <w:t>»</w:t>
      </w:r>
      <w:r>
        <w:t>;</w:t>
      </w:r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на </w:t>
      </w:r>
      <w:r>
        <w:t>201</w:t>
      </w:r>
      <w:r w:rsidR="008556CF">
        <w:t>9</w:t>
      </w:r>
      <w:r w:rsidRPr="00A74996">
        <w:t xml:space="preserve"> год в соответствии со сводной бюджетной росписью.</w:t>
      </w:r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C14FE8" w:rsidRPr="00A74996" w:rsidRDefault="00C14FE8" w:rsidP="00C14FE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p w:rsidR="00C14FE8" w:rsidRPr="000938E6" w:rsidRDefault="00C14FE8" w:rsidP="00C14FE8">
      <w:pPr>
        <w:ind w:firstLine="709"/>
        <w:jc w:val="both"/>
      </w:pPr>
    </w:p>
    <w:p w:rsidR="00C14FE8" w:rsidRDefault="00C14FE8" w:rsidP="00C14FE8">
      <w:pPr>
        <w:ind w:firstLine="709"/>
        <w:jc w:val="both"/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C14FE8" w:rsidRDefault="00C14FE8" w:rsidP="00C14FE8">
      <w:pPr>
        <w:ind w:left="6804" w:hanging="141"/>
        <w:rPr>
          <w:sz w:val="16"/>
          <w:szCs w:val="16"/>
        </w:rPr>
      </w:pPr>
    </w:p>
    <w:p w:rsidR="0063637C" w:rsidRDefault="0063637C" w:rsidP="0063637C">
      <w:pPr>
        <w:jc w:val="both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</w:p>
    <w:p w:rsidR="0063637C" w:rsidRPr="00D147D3" w:rsidRDefault="0063637C" w:rsidP="00DE404B">
      <w:pPr>
        <w:jc w:val="center"/>
        <w:rPr>
          <w:sz w:val="16"/>
          <w:szCs w:val="16"/>
        </w:rPr>
      </w:pPr>
    </w:p>
    <w:sectPr w:rsidR="0063637C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2F" w:rsidRDefault="00E27C2F" w:rsidP="00527E0B">
      <w:r>
        <w:separator/>
      </w:r>
    </w:p>
  </w:endnote>
  <w:endnote w:type="continuationSeparator" w:id="0">
    <w:p w:rsidR="00E27C2F" w:rsidRDefault="00E27C2F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2F" w:rsidRDefault="00E27C2F" w:rsidP="00527E0B">
      <w:r>
        <w:separator/>
      </w:r>
    </w:p>
  </w:footnote>
  <w:footnote w:type="continuationSeparator" w:id="0">
    <w:p w:rsidR="00E27C2F" w:rsidRDefault="00E27C2F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2F" w:rsidRDefault="002F4362" w:rsidP="00C33E25">
    <w:pPr>
      <w:pStyle w:val="a8"/>
      <w:jc w:val="center"/>
    </w:pPr>
    <w:fldSimple w:instr=" PAGE   \* MERGEFORMAT ">
      <w:r w:rsidR="00DE488B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7711A"/>
    <w:rsid w:val="00180F7F"/>
    <w:rsid w:val="00184E6E"/>
    <w:rsid w:val="00191C09"/>
    <w:rsid w:val="001B00B0"/>
    <w:rsid w:val="001B1C5F"/>
    <w:rsid w:val="001B6F4A"/>
    <w:rsid w:val="001B7D3B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20140E"/>
    <w:rsid w:val="00211536"/>
    <w:rsid w:val="0021608F"/>
    <w:rsid w:val="00220658"/>
    <w:rsid w:val="00224653"/>
    <w:rsid w:val="00227EF5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4362"/>
    <w:rsid w:val="002F6214"/>
    <w:rsid w:val="003027BD"/>
    <w:rsid w:val="003118FB"/>
    <w:rsid w:val="00320BEB"/>
    <w:rsid w:val="00324466"/>
    <w:rsid w:val="00326A22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24D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32F5"/>
    <w:rsid w:val="006A483B"/>
    <w:rsid w:val="006B25AD"/>
    <w:rsid w:val="006C36A1"/>
    <w:rsid w:val="006C5704"/>
    <w:rsid w:val="006D059C"/>
    <w:rsid w:val="006D3529"/>
    <w:rsid w:val="006E1EA6"/>
    <w:rsid w:val="006E250B"/>
    <w:rsid w:val="006E6F10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6CF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14FE8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404B"/>
    <w:rsid w:val="00DE488B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391B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5655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48</Pages>
  <Words>15797</Words>
  <Characters>105940</Characters>
  <Application>Microsoft Office Word</Application>
  <DocSecurity>0</DocSecurity>
  <Lines>882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5</cp:revision>
  <cp:lastPrinted>2019-05-27T06:37:00Z</cp:lastPrinted>
  <dcterms:created xsi:type="dcterms:W3CDTF">2019-05-27T01:52:00Z</dcterms:created>
  <dcterms:modified xsi:type="dcterms:W3CDTF">2019-05-30T08:41:00Z</dcterms:modified>
</cp:coreProperties>
</file>